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 w:rsidRPr="00081F83">
        <w:rPr>
          <w:color w:val="000000" w:themeColor="text1"/>
          <w:sz w:val="20"/>
          <w:szCs w:val="20"/>
          <w:shd w:val="clear" w:color="auto" w:fill="FFFFFF"/>
        </w:rPr>
        <w:t xml:space="preserve"> действующег</w:t>
      </w:r>
      <w:r w:rsidR="00F53EB9" w:rsidRPr="00081F83">
        <w:rPr>
          <w:color w:val="000000" w:themeColor="text1"/>
          <w:sz w:val="20"/>
          <w:szCs w:val="20"/>
          <w:shd w:val="clear" w:color="auto" w:fill="FFFFFF"/>
        </w:rPr>
        <w:t>о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 xml:space="preserve"> на основании доверенности от 01</w:t>
      </w:r>
      <w:r w:rsidR="0003699C" w:rsidRPr="00081F83">
        <w:rPr>
          <w:color w:val="000000" w:themeColor="text1"/>
          <w:sz w:val="20"/>
          <w:szCs w:val="20"/>
          <w:shd w:val="clear" w:color="auto" w:fill="FFFFFF"/>
        </w:rPr>
        <w:t>.0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1</w:t>
      </w:r>
      <w:r w:rsidR="0003699C" w:rsidRPr="00081F83">
        <w:rPr>
          <w:color w:val="000000" w:themeColor="text1"/>
          <w:sz w:val="20"/>
          <w:szCs w:val="20"/>
          <w:shd w:val="clear" w:color="auto" w:fill="FFFFFF"/>
        </w:rPr>
        <w:t>.20</w:t>
      </w:r>
      <w:r w:rsidR="00966EFB" w:rsidRPr="00081F83">
        <w:rPr>
          <w:color w:val="000000" w:themeColor="text1"/>
          <w:sz w:val="20"/>
          <w:szCs w:val="20"/>
          <w:shd w:val="clear" w:color="auto" w:fill="FFFFFF"/>
        </w:rPr>
        <w:t>2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3699C" w:rsidRPr="00081F83">
        <w:rPr>
          <w:color w:val="000000" w:themeColor="text1"/>
          <w:sz w:val="20"/>
          <w:szCs w:val="20"/>
          <w:shd w:val="clear" w:color="auto" w:fill="FFFFFF"/>
        </w:rPr>
        <w:t xml:space="preserve"> № 1/</w:t>
      </w:r>
      <w:r w:rsidR="003C6B46" w:rsidRPr="00081F83">
        <w:rPr>
          <w:color w:val="000000" w:themeColor="text1"/>
          <w:sz w:val="20"/>
          <w:szCs w:val="20"/>
          <w:shd w:val="clear" w:color="auto" w:fill="FFFFFF"/>
        </w:rPr>
        <w:t>2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Наименование закупки»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2023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081F83">
        <w:rPr>
          <w:color w:val="000000" w:themeColor="text1"/>
          <w:sz w:val="20"/>
          <w:szCs w:val="20"/>
          <w:shd w:val="clear" w:color="auto" w:fill="FFFFFF"/>
        </w:rPr>
        <w:t xml:space="preserve">позднее </w:t>
      </w:r>
      <w:r w:rsidR="00E5031E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31.12</w:t>
      </w:r>
      <w:r w:rsidR="00D54412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.</w:t>
      </w:r>
      <w:r w:rsidR="00713C29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</w:t>
      </w:r>
      <w:r w:rsidR="00152DCB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02</w:t>
      </w:r>
      <w:r w:rsidR="00525AB3" w:rsidRPr="00081F83">
        <w:rPr>
          <w:color w:val="000000" w:themeColor="text1"/>
          <w:sz w:val="20"/>
          <w:szCs w:val="20"/>
          <w:highlight w:val="yellow"/>
          <w:shd w:val="clear" w:color="auto" w:fill="FFFFFF"/>
          <w:lang w:val="ru-RU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081F8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в течение </w:t>
      </w:r>
      <w:r w:rsidR="00205C7B" w:rsidRPr="00081F83">
        <w:rPr>
          <w:color w:val="000000" w:themeColor="text1"/>
          <w:sz w:val="20"/>
          <w:szCs w:val="20"/>
          <w:shd w:val="clear" w:color="auto" w:fill="FFFFFF"/>
        </w:rPr>
        <w:t>7</w:t>
      </w:r>
      <w:r w:rsidR="00D913B9" w:rsidRPr="00081F83">
        <w:rPr>
          <w:color w:val="000000" w:themeColor="text1"/>
          <w:sz w:val="20"/>
          <w:szCs w:val="20"/>
          <w:shd w:val="clear" w:color="auto" w:fill="FFFFFF"/>
        </w:rPr>
        <w:t xml:space="preserve"> рабочих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на основании предоставления Поставщиком Заказчику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та-фактуры, товарной накладной или УПД и отгрузочных документов на поставленный товар, в соответствии с фор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>мами, прилагаемыми Поставщиком.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0,1%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0,1%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081F83">
        <w:rPr>
          <w:color w:val="000000" w:themeColor="text1"/>
          <w:sz w:val="20"/>
          <w:szCs w:val="20"/>
        </w:rPr>
        <w:t>Договор</w:t>
      </w:r>
      <w:r w:rsidRPr="00081F83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081F83">
        <w:rPr>
          <w:color w:val="000000" w:themeColor="text1"/>
          <w:sz w:val="20"/>
          <w:szCs w:val="20"/>
          <w:highlight w:val="yellow"/>
        </w:rPr>
        <w:t>31.01</w:t>
      </w:r>
      <w:r w:rsidR="00BB350A" w:rsidRPr="00081F83">
        <w:rPr>
          <w:color w:val="000000" w:themeColor="text1"/>
          <w:sz w:val="20"/>
          <w:szCs w:val="20"/>
          <w:highlight w:val="yellow"/>
        </w:rPr>
        <w:t>.</w:t>
      </w:r>
      <w:r w:rsidR="004E27EB" w:rsidRPr="00081F83">
        <w:rPr>
          <w:color w:val="000000" w:themeColor="text1"/>
          <w:sz w:val="20"/>
          <w:szCs w:val="20"/>
          <w:highlight w:val="yellow"/>
        </w:rPr>
        <w:t>20</w:t>
      </w:r>
      <w:r w:rsidR="00525AB3" w:rsidRPr="00081F83">
        <w:rPr>
          <w:color w:val="000000" w:themeColor="text1"/>
          <w:sz w:val="20"/>
          <w:szCs w:val="20"/>
          <w:highlight w:val="yellow"/>
        </w:rPr>
        <w:t>24</w:t>
      </w:r>
      <w:r w:rsidRPr="00081F83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13.2. В случае изменения у какой-либо из Сторон юридического адреса, названия, плат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жно-расч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тных реквизитов </w:t>
      </w:r>
      <w:r w:rsidR="00081F83">
        <w:rPr>
          <w:color w:val="000000" w:themeColor="text1"/>
          <w:sz w:val="20"/>
          <w:szCs w:val="20"/>
          <w:shd w:val="clear" w:color="auto" w:fill="FFFFFF"/>
        </w:rPr>
        <w:t xml:space="preserve">последняя обязана в течение 10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направить для подписания другой Стороне дополнительное соглашение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 xml:space="preserve">своевременно и в полном </w:t>
      </w:r>
      <w:proofErr w:type="spellStart"/>
      <w:r w:rsidRPr="00081F83">
        <w:rPr>
          <w:color w:val="000000" w:themeColor="text1"/>
          <w:spacing w:val="-1"/>
          <w:sz w:val="20"/>
          <w:szCs w:val="20"/>
        </w:rPr>
        <w:t>объе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</w:t>
      </w:r>
      <w:proofErr w:type="spellEnd"/>
      <w:r w:rsidRPr="00081F83">
        <w:rPr>
          <w:color w:val="000000" w:themeColor="text1"/>
          <w:spacing w:val="-1"/>
          <w:sz w:val="20"/>
          <w:szCs w:val="20"/>
        </w:rPr>
        <w:t xml:space="preserve">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450065, Республика Башкортостан, город Уфа,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улица Дмитрия Донского, дом № 9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Фактический, почтовый адрес: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450080, Республика Башкортостан, город Уфа,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улица Степана Злобина, дом №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М. Г. Петров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________ от «___</w:t>
      </w:r>
      <w:proofErr w:type="gramStart"/>
      <w:r w:rsidRPr="00081F83">
        <w:rPr>
          <w:color w:val="000000" w:themeColor="text1"/>
          <w:sz w:val="20"/>
          <w:szCs w:val="20"/>
          <w:shd w:val="clear" w:color="auto" w:fill="FFFFFF"/>
        </w:rPr>
        <w:t>_»_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М. Г. Петров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F00B59" w:rsidRPr="00F00B59">
          <w:rPr>
            <w:noProof/>
            <w:sz w:val="16"/>
            <w:szCs w:val="16"/>
            <w:lang w:val="ru-RU"/>
          </w:rPr>
          <w:t>7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1752-BCE0-4703-AFB9-4E17E83F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4928</Words>
  <Characters>28095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25</cp:revision>
  <cp:lastPrinted>2021-12-29T08:27:00Z</cp:lastPrinted>
  <dcterms:created xsi:type="dcterms:W3CDTF">2021-12-23T08:59:00Z</dcterms:created>
  <dcterms:modified xsi:type="dcterms:W3CDTF">2023-09-18T08:23:00Z</dcterms:modified>
</cp:coreProperties>
</file>